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1A275">
      <w:pPr>
        <w:jc w:val="center"/>
        <w:rPr>
          <w:rFonts w:hint="eastAsia" w:ascii="仿宋" w:hAnsi="仿宋" w:eastAsia="仿宋" w:cs="仿宋"/>
          <w:b/>
          <w:bCs/>
          <w:sz w:val="28"/>
          <w:szCs w:val="28"/>
          <w:lang w:val="en-US" w:eastAsia="zh-CN"/>
        </w:rPr>
      </w:pPr>
      <w:bookmarkStart w:id="5" w:name="_GoBack"/>
      <w:bookmarkEnd w:id="5"/>
      <w:r>
        <w:rPr>
          <w:rFonts w:hint="eastAsia" w:ascii="仿宋" w:hAnsi="仿宋" w:eastAsia="仿宋" w:cs="仿宋"/>
          <w:b/>
          <w:bCs/>
          <w:sz w:val="28"/>
          <w:szCs w:val="28"/>
          <w:lang w:val="en-US" w:eastAsia="zh-CN"/>
        </w:rPr>
        <w:t>第八章 拟签订采购合同文本</w:t>
      </w:r>
    </w:p>
    <w:p w14:paraId="1377C083">
      <w:pPr>
        <w:keepNext w:val="0"/>
        <w:keepLines w:val="0"/>
        <w:pageBreakBefore w:val="0"/>
        <w:widowControl w:val="0"/>
        <w:kinsoku/>
        <w:wordWrap w:val="0"/>
        <w:overflowPunct/>
        <w:topLinePunct w:val="0"/>
        <w:autoSpaceDE/>
        <w:autoSpaceDN/>
        <w:bidi w:val="0"/>
        <w:adjustRightInd/>
        <w:snapToGrid/>
        <w:spacing w:before="156" w:beforeLines="50" w:line="360" w:lineRule="auto"/>
        <w:ind w:firstLine="484"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pacing w:val="1"/>
          <w:sz w:val="24"/>
          <w:szCs w:val="24"/>
        </w:rPr>
        <w:t>根据《中华人民共和国政</w:t>
      </w:r>
      <w:r>
        <w:rPr>
          <w:rFonts w:hint="eastAsia" w:ascii="仿宋" w:hAnsi="仿宋" w:eastAsia="仿宋" w:cs="仿宋"/>
          <w:sz w:val="24"/>
          <w:szCs w:val="24"/>
        </w:rPr>
        <w:t>府采购法》、《中华人民共和国民法典》等</w:t>
      </w:r>
      <w:r>
        <w:rPr>
          <w:rFonts w:hint="eastAsia" w:ascii="仿宋" w:hAnsi="仿宋" w:eastAsia="仿宋" w:cs="仿宋"/>
          <w:spacing w:val="-2"/>
          <w:sz w:val="24"/>
          <w:szCs w:val="24"/>
        </w:rPr>
        <w:t>有关法律法</w:t>
      </w:r>
      <w:r>
        <w:rPr>
          <w:rFonts w:hint="eastAsia" w:ascii="仿宋" w:hAnsi="仿宋" w:eastAsia="仿宋" w:cs="仿宋"/>
          <w:spacing w:val="-1"/>
          <w:sz w:val="24"/>
          <w:szCs w:val="24"/>
        </w:rPr>
        <w:t>规规定，</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1"/>
          <w:sz w:val="24"/>
          <w:szCs w:val="24"/>
        </w:rPr>
        <w:t>(采购人名称)(以下简称：“甲方”)通</w:t>
      </w:r>
      <w:r>
        <w:rPr>
          <w:rFonts w:hint="eastAsia" w:ascii="仿宋" w:hAnsi="仿宋" w:eastAsia="仿宋" w:cs="仿宋"/>
          <w:spacing w:val="-2"/>
          <w:sz w:val="24"/>
          <w:szCs w:val="24"/>
        </w:rPr>
        <w:t>过</w:t>
      </w:r>
      <w:r>
        <w:rPr>
          <w:rFonts w:hint="eastAsia" w:ascii="仿宋" w:hAnsi="仿宋" w:eastAsia="仿宋" w:cs="仿宋"/>
          <w:spacing w:val="-1"/>
          <w:sz w:val="24"/>
          <w:szCs w:val="24"/>
          <w:u w:val="single"/>
          <w:lang w:val="en-US" w:eastAsia="zh-CN"/>
        </w:rPr>
        <w:t>竞争性谈判</w:t>
      </w:r>
      <w:r>
        <w:rPr>
          <w:rFonts w:hint="eastAsia" w:ascii="仿宋" w:hAnsi="仿宋" w:eastAsia="仿宋" w:cs="仿宋"/>
          <w:spacing w:val="-1"/>
          <w:sz w:val="24"/>
          <w:szCs w:val="24"/>
        </w:rPr>
        <w:t>采购(采购方式)确定</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1"/>
          <w:sz w:val="24"/>
          <w:szCs w:val="24"/>
        </w:rPr>
        <w:t>(中标人名称)(以下简称：“乙方”)</w:t>
      </w:r>
      <w:r>
        <w:rPr>
          <w:rFonts w:hint="eastAsia" w:ascii="仿宋" w:hAnsi="仿宋" w:eastAsia="仿宋" w:cs="仿宋"/>
          <w:spacing w:val="-2"/>
          <w:sz w:val="24"/>
          <w:szCs w:val="24"/>
        </w:rPr>
        <w:t>为</w:t>
      </w:r>
      <w:r>
        <w:rPr>
          <w:rFonts w:hint="eastAsia" w:ascii="仿宋" w:hAnsi="仿宋" w:eastAsia="仿宋" w:cs="仿宋"/>
          <w:spacing w:val="-1"/>
          <w:sz w:val="24"/>
          <w:szCs w:val="24"/>
          <w:u w:val="single"/>
          <w:lang w:val="en-US" w:eastAsia="zh-CN"/>
        </w:rPr>
        <w:t>智慧黑板采购项目</w:t>
      </w:r>
      <w:r>
        <w:rPr>
          <w:rFonts w:hint="eastAsia" w:ascii="仿宋" w:hAnsi="仿宋" w:eastAsia="仿宋" w:cs="仿宋"/>
          <w:spacing w:val="-1"/>
          <w:sz w:val="24"/>
          <w:szCs w:val="24"/>
        </w:rPr>
        <w:t>(项目名称)的</w:t>
      </w:r>
      <w:r>
        <w:rPr>
          <w:rFonts w:hint="eastAsia" w:ascii="仿宋" w:hAnsi="仿宋" w:eastAsia="仿宋" w:cs="仿宋"/>
          <w:spacing w:val="-1"/>
          <w:sz w:val="24"/>
          <w:szCs w:val="24"/>
          <w:u w:val="single"/>
          <w:lang w:val="en-US" w:eastAsia="zh-CN"/>
        </w:rPr>
        <w:t>成交供应商</w:t>
      </w:r>
      <w:r>
        <w:rPr>
          <w:rFonts w:hint="eastAsia" w:ascii="仿宋" w:hAnsi="仿宋" w:eastAsia="仿宋" w:cs="仿宋"/>
          <w:spacing w:val="-1"/>
          <w:sz w:val="24"/>
          <w:szCs w:val="24"/>
        </w:rPr>
        <w:t>。甲乙双方同意签署《</w:t>
      </w:r>
      <w:r>
        <w:rPr>
          <w:rFonts w:hint="eastAsia" w:ascii="仿宋" w:hAnsi="仿宋" w:eastAsia="仿宋" w:cs="仿宋"/>
          <w:spacing w:val="-1"/>
          <w:sz w:val="24"/>
          <w:szCs w:val="24"/>
          <w:u w:val="single"/>
          <w:lang w:val="en-US" w:eastAsia="zh-CN"/>
        </w:rPr>
        <w:t>智慧黑板采购项目</w:t>
      </w:r>
      <w:r>
        <w:rPr>
          <w:rFonts w:hint="eastAsia" w:ascii="仿宋" w:hAnsi="仿宋" w:eastAsia="仿宋" w:cs="仿宋"/>
          <w:spacing w:val="-7"/>
          <w:sz w:val="24"/>
          <w:szCs w:val="24"/>
        </w:rPr>
        <w:t>(项目名称)合同》(合同编号：</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7"/>
          <w:sz w:val="24"/>
          <w:szCs w:val="24"/>
        </w:rPr>
        <w:t>，以下简称：“合同”)。</w:t>
      </w:r>
    </w:p>
    <w:p w14:paraId="2D9CE027">
      <w:pPr>
        <w:widowControl w:val="0"/>
        <w:spacing w:before="156" w:beforeLines="50" w:line="240" w:lineRule="auto"/>
        <w:ind w:firstLine="0" w:firstLineChars="0"/>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第一条 合同标的及数量</w:t>
      </w:r>
    </w:p>
    <w:p w14:paraId="74431921">
      <w:pPr>
        <w:widowControl/>
        <w:autoSpaceDE w:val="0"/>
        <w:autoSpaceDN w:val="0"/>
        <w:adjustRightInd w:val="0"/>
        <w:ind w:firstLine="482"/>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乙方向甲方提供下列货物（产品）：</w:t>
      </w:r>
    </w:p>
    <w:p w14:paraId="565E95E9">
      <w:pPr>
        <w:widowControl/>
        <w:autoSpaceDE w:val="0"/>
        <w:autoSpaceDN w:val="0"/>
        <w:adjustRightInd w:val="0"/>
        <w:ind w:firstLine="482"/>
        <w:jc w:val="center"/>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供货一览表</w:t>
      </w:r>
    </w:p>
    <w:tbl>
      <w:tblPr>
        <w:tblStyle w:val="2"/>
        <w:tblpPr w:leftFromText="180" w:rightFromText="180" w:vertAnchor="text" w:horzAnchor="page" w:tblpX="1238" w:tblpY="292"/>
        <w:tblOverlap w:val="never"/>
        <w:tblW w:w="5672" w:type="pct"/>
        <w:tblInd w:w="0" w:type="dxa"/>
        <w:tblLayout w:type="fixed"/>
        <w:tblCellMar>
          <w:top w:w="0" w:type="dxa"/>
          <w:left w:w="28" w:type="dxa"/>
          <w:bottom w:w="0" w:type="dxa"/>
          <w:right w:w="28" w:type="dxa"/>
        </w:tblCellMar>
      </w:tblPr>
      <w:tblGrid>
        <w:gridCol w:w="687"/>
        <w:gridCol w:w="1092"/>
        <w:gridCol w:w="1075"/>
        <w:gridCol w:w="3213"/>
        <w:gridCol w:w="637"/>
        <w:gridCol w:w="1150"/>
        <w:gridCol w:w="816"/>
        <w:gridCol w:w="816"/>
      </w:tblGrid>
      <w:tr w14:paraId="077F09BA">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4" w:space="0"/>
            </w:tcBorders>
            <w:vAlign w:val="center"/>
          </w:tcPr>
          <w:p w14:paraId="2E9930A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r>
              <w:rPr>
                <w:rFonts w:hint="eastAsia" w:ascii="仿宋" w:hAnsi="仿宋" w:eastAsia="仿宋" w:cs="仿宋"/>
                <w:b/>
                <w:bCs/>
                <w:color w:val="000000"/>
                <w:kern w:val="0"/>
                <w:sz w:val="22"/>
                <w:szCs w:val="22"/>
                <w:lang w:bidi="ar"/>
              </w:rPr>
              <w:t>序号</w:t>
            </w:r>
          </w:p>
        </w:tc>
        <w:tc>
          <w:tcPr>
            <w:tcW w:w="1092" w:type="dxa"/>
            <w:tcBorders>
              <w:top w:val="single" w:color="auto" w:sz="4" w:space="0"/>
              <w:left w:val="single" w:color="auto" w:sz="4" w:space="0"/>
              <w:bottom w:val="single" w:color="auto" w:sz="4" w:space="0"/>
              <w:right w:val="single" w:color="auto" w:sz="4" w:space="0"/>
            </w:tcBorders>
            <w:vAlign w:val="center"/>
          </w:tcPr>
          <w:p w14:paraId="39E155D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r>
              <w:rPr>
                <w:rFonts w:hint="eastAsia" w:ascii="仿宋" w:hAnsi="仿宋" w:eastAsia="仿宋" w:cs="仿宋"/>
                <w:b/>
                <w:bCs/>
                <w:color w:val="000000"/>
                <w:kern w:val="0"/>
                <w:sz w:val="22"/>
                <w:szCs w:val="22"/>
                <w:lang w:bidi="ar"/>
              </w:rPr>
              <w:t>名 称</w:t>
            </w:r>
          </w:p>
        </w:tc>
        <w:tc>
          <w:tcPr>
            <w:tcW w:w="1075" w:type="dxa"/>
            <w:tcBorders>
              <w:top w:val="single" w:color="auto" w:sz="4" w:space="0"/>
              <w:left w:val="single" w:color="auto" w:sz="4" w:space="0"/>
              <w:bottom w:val="single" w:color="auto" w:sz="4" w:space="0"/>
              <w:right w:val="single" w:color="auto" w:sz="4" w:space="0"/>
            </w:tcBorders>
            <w:vAlign w:val="center"/>
          </w:tcPr>
          <w:p w14:paraId="6523A63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r>
              <w:rPr>
                <w:rFonts w:hint="eastAsia" w:ascii="仿宋" w:hAnsi="仿宋" w:eastAsia="仿宋" w:cs="仿宋"/>
                <w:b/>
                <w:bCs/>
                <w:color w:val="000000"/>
                <w:kern w:val="0"/>
                <w:sz w:val="22"/>
                <w:szCs w:val="22"/>
                <w:lang w:bidi="ar"/>
              </w:rPr>
              <w:t>型 号</w:t>
            </w:r>
          </w:p>
        </w:tc>
        <w:tc>
          <w:tcPr>
            <w:tcW w:w="3213" w:type="dxa"/>
            <w:tcBorders>
              <w:top w:val="single" w:color="auto" w:sz="4" w:space="0"/>
              <w:left w:val="single" w:color="auto" w:sz="4" w:space="0"/>
              <w:bottom w:val="single" w:color="auto" w:sz="4" w:space="0"/>
              <w:right w:val="single" w:color="auto" w:sz="4" w:space="0"/>
            </w:tcBorders>
            <w:vAlign w:val="center"/>
          </w:tcPr>
          <w:p w14:paraId="349D49F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r>
              <w:rPr>
                <w:rFonts w:hint="eastAsia" w:ascii="仿宋" w:hAnsi="仿宋" w:eastAsia="仿宋" w:cs="仿宋"/>
                <w:b/>
                <w:bCs/>
                <w:color w:val="000000"/>
                <w:sz w:val="22"/>
                <w:szCs w:val="22"/>
                <w:u w:val="none"/>
                <w:lang w:bidi="ar"/>
              </w:rPr>
              <w:t>采购要求</w:t>
            </w:r>
          </w:p>
        </w:tc>
        <w:tc>
          <w:tcPr>
            <w:tcW w:w="637" w:type="dxa"/>
            <w:tcBorders>
              <w:top w:val="single" w:color="auto" w:sz="4" w:space="0"/>
              <w:left w:val="single" w:color="auto" w:sz="4" w:space="0"/>
              <w:bottom w:val="single" w:color="auto" w:sz="4" w:space="0"/>
              <w:right w:val="single" w:color="auto" w:sz="4" w:space="0"/>
            </w:tcBorders>
            <w:vAlign w:val="center"/>
          </w:tcPr>
          <w:p w14:paraId="55A009E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r>
              <w:rPr>
                <w:rFonts w:hint="eastAsia" w:ascii="仿宋" w:hAnsi="仿宋" w:eastAsia="仿宋" w:cs="仿宋"/>
                <w:b/>
                <w:bCs/>
                <w:color w:val="000000"/>
                <w:kern w:val="0"/>
                <w:sz w:val="22"/>
                <w:szCs w:val="22"/>
                <w:lang w:bidi="ar"/>
              </w:rPr>
              <w:t>单位</w:t>
            </w:r>
          </w:p>
        </w:tc>
        <w:tc>
          <w:tcPr>
            <w:tcW w:w="1150" w:type="dxa"/>
            <w:tcBorders>
              <w:top w:val="single" w:color="auto" w:sz="4" w:space="0"/>
              <w:left w:val="single" w:color="auto" w:sz="4" w:space="0"/>
              <w:bottom w:val="single" w:color="auto" w:sz="4" w:space="0"/>
              <w:right w:val="single" w:color="auto" w:sz="4" w:space="0"/>
            </w:tcBorders>
            <w:vAlign w:val="center"/>
          </w:tcPr>
          <w:p w14:paraId="66649E4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Cs/>
                <w:sz w:val="24"/>
              </w:rPr>
            </w:pPr>
            <w:r>
              <w:rPr>
                <w:rFonts w:hint="eastAsia" w:ascii="仿宋" w:hAnsi="仿宋" w:eastAsia="仿宋" w:cs="仿宋"/>
                <w:b/>
                <w:bCs/>
                <w:color w:val="000000"/>
                <w:kern w:val="0"/>
                <w:sz w:val="22"/>
                <w:szCs w:val="22"/>
                <w:lang w:bidi="ar"/>
              </w:rPr>
              <w:t>数量</w:t>
            </w:r>
          </w:p>
        </w:tc>
        <w:tc>
          <w:tcPr>
            <w:tcW w:w="816" w:type="dxa"/>
            <w:tcBorders>
              <w:top w:val="single" w:color="auto" w:sz="4" w:space="0"/>
              <w:left w:val="single" w:color="auto" w:sz="4" w:space="0"/>
              <w:bottom w:val="single" w:color="auto" w:sz="4" w:space="0"/>
              <w:right w:val="single" w:color="auto" w:sz="4" w:space="0"/>
            </w:tcBorders>
            <w:vAlign w:val="center"/>
          </w:tcPr>
          <w:p w14:paraId="662BA37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Cs/>
                <w:sz w:val="24"/>
              </w:rPr>
            </w:pPr>
            <w:r>
              <w:rPr>
                <w:rFonts w:hint="eastAsia" w:ascii="仿宋" w:hAnsi="仿宋" w:eastAsia="仿宋" w:cs="仿宋"/>
                <w:b/>
                <w:bCs/>
                <w:color w:val="000000"/>
                <w:kern w:val="0"/>
                <w:sz w:val="22"/>
                <w:szCs w:val="22"/>
                <w:lang w:bidi="ar"/>
              </w:rPr>
              <w:t>单价</w:t>
            </w:r>
          </w:p>
        </w:tc>
        <w:tc>
          <w:tcPr>
            <w:tcW w:w="816" w:type="dxa"/>
            <w:tcBorders>
              <w:top w:val="single" w:color="auto" w:sz="4" w:space="0"/>
              <w:left w:val="single" w:color="auto" w:sz="4" w:space="0"/>
              <w:bottom w:val="single" w:color="auto" w:sz="4" w:space="0"/>
              <w:right w:val="single" w:color="auto" w:sz="4" w:space="0"/>
            </w:tcBorders>
            <w:vAlign w:val="center"/>
          </w:tcPr>
          <w:p w14:paraId="05AC404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总价</w:t>
            </w:r>
          </w:p>
        </w:tc>
      </w:tr>
      <w:tr w14:paraId="4DD39270">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6" w:space="0"/>
            </w:tcBorders>
            <w:vAlign w:val="center"/>
          </w:tcPr>
          <w:p w14:paraId="735E8CB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p>
        </w:tc>
        <w:tc>
          <w:tcPr>
            <w:tcW w:w="1092" w:type="dxa"/>
            <w:tcBorders>
              <w:top w:val="single" w:color="auto" w:sz="4" w:space="0"/>
              <w:left w:val="single" w:color="auto" w:sz="6" w:space="0"/>
              <w:bottom w:val="single" w:color="auto" w:sz="6" w:space="0"/>
              <w:right w:val="single" w:color="auto" w:sz="6" w:space="0"/>
            </w:tcBorders>
            <w:vAlign w:val="center"/>
          </w:tcPr>
          <w:p w14:paraId="18AB1DF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rPr>
            </w:pPr>
          </w:p>
        </w:tc>
        <w:tc>
          <w:tcPr>
            <w:tcW w:w="1075" w:type="dxa"/>
            <w:tcBorders>
              <w:top w:val="single" w:color="auto" w:sz="4" w:space="0"/>
              <w:left w:val="single" w:color="auto" w:sz="6" w:space="0"/>
              <w:bottom w:val="single" w:color="auto" w:sz="6" w:space="0"/>
              <w:right w:val="single" w:color="auto" w:sz="6" w:space="0"/>
            </w:tcBorders>
            <w:vAlign w:val="center"/>
          </w:tcPr>
          <w:p w14:paraId="16CF2B5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rPr>
            </w:pPr>
          </w:p>
        </w:tc>
        <w:tc>
          <w:tcPr>
            <w:tcW w:w="3213" w:type="dxa"/>
            <w:tcBorders>
              <w:top w:val="single" w:color="auto" w:sz="4" w:space="0"/>
              <w:left w:val="single" w:color="auto" w:sz="6" w:space="0"/>
              <w:bottom w:val="single" w:color="auto" w:sz="6" w:space="0"/>
              <w:right w:val="single" w:color="auto" w:sz="6" w:space="0"/>
            </w:tcBorders>
            <w:vAlign w:val="center"/>
          </w:tcPr>
          <w:p w14:paraId="778EC58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sz w:val="24"/>
              </w:rPr>
            </w:pPr>
          </w:p>
        </w:tc>
        <w:tc>
          <w:tcPr>
            <w:tcW w:w="637" w:type="dxa"/>
            <w:tcBorders>
              <w:top w:val="single" w:color="auto" w:sz="4" w:space="0"/>
              <w:left w:val="single" w:color="auto" w:sz="6" w:space="0"/>
              <w:bottom w:val="single" w:color="auto" w:sz="6" w:space="0"/>
              <w:right w:val="single" w:color="auto" w:sz="6" w:space="0"/>
            </w:tcBorders>
            <w:vAlign w:val="center"/>
          </w:tcPr>
          <w:p w14:paraId="79080EA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rPr>
            </w:pPr>
          </w:p>
        </w:tc>
        <w:tc>
          <w:tcPr>
            <w:tcW w:w="1150" w:type="dxa"/>
            <w:tcBorders>
              <w:top w:val="single" w:color="auto" w:sz="4" w:space="0"/>
              <w:left w:val="single" w:color="auto" w:sz="6" w:space="0"/>
              <w:bottom w:val="single" w:color="auto" w:sz="6" w:space="0"/>
              <w:right w:val="single" w:color="auto" w:sz="6" w:space="0"/>
            </w:tcBorders>
            <w:vAlign w:val="center"/>
          </w:tcPr>
          <w:p w14:paraId="2F2F011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p>
        </w:tc>
        <w:tc>
          <w:tcPr>
            <w:tcW w:w="816" w:type="dxa"/>
            <w:tcBorders>
              <w:top w:val="single" w:color="auto" w:sz="4" w:space="0"/>
              <w:left w:val="single" w:color="auto" w:sz="6" w:space="0"/>
              <w:bottom w:val="single" w:color="auto" w:sz="6" w:space="0"/>
              <w:right w:val="single" w:color="auto" w:sz="6" w:space="0"/>
            </w:tcBorders>
            <w:vAlign w:val="center"/>
          </w:tcPr>
          <w:p w14:paraId="2FF75C5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p>
        </w:tc>
        <w:tc>
          <w:tcPr>
            <w:tcW w:w="816" w:type="dxa"/>
            <w:tcBorders>
              <w:top w:val="single" w:color="auto" w:sz="4" w:space="0"/>
              <w:left w:val="single" w:color="auto" w:sz="6" w:space="0"/>
              <w:bottom w:val="single" w:color="auto" w:sz="6" w:space="0"/>
              <w:right w:val="single" w:color="auto" w:sz="6" w:space="0"/>
            </w:tcBorders>
            <w:vAlign w:val="center"/>
          </w:tcPr>
          <w:p w14:paraId="09B7713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2"/>
                <w:szCs w:val="22"/>
                <w:lang w:bidi="ar"/>
              </w:rPr>
            </w:pPr>
          </w:p>
        </w:tc>
      </w:tr>
      <w:tr w14:paraId="134C4486">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6" w:space="0"/>
            </w:tcBorders>
            <w:vAlign w:val="center"/>
          </w:tcPr>
          <w:p w14:paraId="2D209E9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p>
        </w:tc>
        <w:tc>
          <w:tcPr>
            <w:tcW w:w="1092" w:type="dxa"/>
            <w:tcBorders>
              <w:top w:val="single" w:color="auto" w:sz="4" w:space="0"/>
              <w:left w:val="single" w:color="auto" w:sz="6" w:space="0"/>
              <w:bottom w:val="single" w:color="auto" w:sz="6" w:space="0"/>
              <w:right w:val="single" w:color="auto" w:sz="6" w:space="0"/>
            </w:tcBorders>
            <w:vAlign w:val="center"/>
          </w:tcPr>
          <w:p w14:paraId="6121BC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rPr>
            </w:pPr>
          </w:p>
        </w:tc>
        <w:tc>
          <w:tcPr>
            <w:tcW w:w="1075" w:type="dxa"/>
            <w:tcBorders>
              <w:top w:val="single" w:color="auto" w:sz="4" w:space="0"/>
              <w:left w:val="single" w:color="auto" w:sz="6" w:space="0"/>
              <w:bottom w:val="single" w:color="auto" w:sz="6" w:space="0"/>
              <w:right w:val="single" w:color="auto" w:sz="6" w:space="0"/>
            </w:tcBorders>
            <w:vAlign w:val="center"/>
          </w:tcPr>
          <w:p w14:paraId="7765B61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rPr>
            </w:pPr>
          </w:p>
        </w:tc>
        <w:tc>
          <w:tcPr>
            <w:tcW w:w="3213" w:type="dxa"/>
            <w:tcBorders>
              <w:top w:val="single" w:color="auto" w:sz="4" w:space="0"/>
              <w:left w:val="single" w:color="auto" w:sz="6" w:space="0"/>
              <w:bottom w:val="single" w:color="auto" w:sz="6" w:space="0"/>
              <w:right w:val="single" w:color="auto" w:sz="6" w:space="0"/>
            </w:tcBorders>
            <w:vAlign w:val="center"/>
          </w:tcPr>
          <w:p w14:paraId="0535CBD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sz w:val="24"/>
              </w:rPr>
            </w:pPr>
          </w:p>
        </w:tc>
        <w:tc>
          <w:tcPr>
            <w:tcW w:w="637" w:type="dxa"/>
            <w:tcBorders>
              <w:top w:val="single" w:color="auto" w:sz="4" w:space="0"/>
              <w:left w:val="single" w:color="auto" w:sz="6" w:space="0"/>
              <w:bottom w:val="single" w:color="auto" w:sz="6" w:space="0"/>
              <w:right w:val="single" w:color="auto" w:sz="6" w:space="0"/>
            </w:tcBorders>
            <w:vAlign w:val="center"/>
          </w:tcPr>
          <w:p w14:paraId="6FFF7DB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rPr>
            </w:pPr>
          </w:p>
        </w:tc>
        <w:tc>
          <w:tcPr>
            <w:tcW w:w="1150" w:type="dxa"/>
            <w:tcBorders>
              <w:top w:val="single" w:color="auto" w:sz="4" w:space="0"/>
              <w:left w:val="single" w:color="auto" w:sz="6" w:space="0"/>
              <w:bottom w:val="single" w:color="auto" w:sz="6" w:space="0"/>
              <w:right w:val="single" w:color="auto" w:sz="6" w:space="0"/>
            </w:tcBorders>
            <w:vAlign w:val="center"/>
          </w:tcPr>
          <w:p w14:paraId="6D636CC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p>
        </w:tc>
        <w:tc>
          <w:tcPr>
            <w:tcW w:w="816" w:type="dxa"/>
            <w:tcBorders>
              <w:top w:val="single" w:color="auto" w:sz="4" w:space="0"/>
              <w:left w:val="single" w:color="auto" w:sz="6" w:space="0"/>
              <w:bottom w:val="single" w:color="auto" w:sz="6" w:space="0"/>
              <w:right w:val="single" w:color="auto" w:sz="6" w:space="0"/>
            </w:tcBorders>
            <w:vAlign w:val="center"/>
          </w:tcPr>
          <w:p w14:paraId="2F3A5B3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24"/>
              </w:rPr>
            </w:pPr>
          </w:p>
        </w:tc>
        <w:tc>
          <w:tcPr>
            <w:tcW w:w="816" w:type="dxa"/>
            <w:tcBorders>
              <w:top w:val="single" w:color="auto" w:sz="4" w:space="0"/>
              <w:left w:val="single" w:color="auto" w:sz="6" w:space="0"/>
              <w:bottom w:val="single" w:color="auto" w:sz="6" w:space="0"/>
              <w:right w:val="single" w:color="auto" w:sz="6" w:space="0"/>
            </w:tcBorders>
            <w:vAlign w:val="center"/>
          </w:tcPr>
          <w:p w14:paraId="2EB7512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2"/>
                <w:szCs w:val="22"/>
                <w:lang w:bidi="ar"/>
              </w:rPr>
            </w:pPr>
          </w:p>
        </w:tc>
      </w:tr>
      <w:tr w14:paraId="68A4200F">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vAlign w:val="center"/>
          </w:tcPr>
          <w:p w14:paraId="78A3C6D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4"/>
                <w:lang w:bidi="ar"/>
              </w:rPr>
            </w:pPr>
          </w:p>
        </w:tc>
        <w:tc>
          <w:tcPr>
            <w:tcW w:w="1092" w:type="dxa"/>
            <w:tcBorders>
              <w:top w:val="single" w:color="auto" w:sz="4" w:space="0"/>
              <w:left w:val="single" w:color="auto" w:sz="4" w:space="0"/>
              <w:bottom w:val="single" w:color="auto" w:sz="4" w:space="0"/>
              <w:right w:val="single" w:color="auto" w:sz="6" w:space="0"/>
            </w:tcBorders>
            <w:vAlign w:val="center"/>
          </w:tcPr>
          <w:p w14:paraId="5B55D02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vAlign w:val="center"/>
          </w:tcPr>
          <w:p w14:paraId="25164D6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sz w:val="24"/>
              </w:rPr>
            </w:pPr>
          </w:p>
        </w:tc>
        <w:tc>
          <w:tcPr>
            <w:tcW w:w="3213" w:type="dxa"/>
            <w:tcBorders>
              <w:top w:val="single" w:color="auto" w:sz="4" w:space="0"/>
              <w:left w:val="single" w:color="auto" w:sz="6" w:space="0"/>
              <w:bottom w:val="single" w:color="auto" w:sz="4" w:space="0"/>
              <w:right w:val="single" w:color="auto" w:sz="6" w:space="0"/>
            </w:tcBorders>
            <w:vAlign w:val="center"/>
          </w:tcPr>
          <w:p w14:paraId="52F9F63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vAlign w:val="center"/>
          </w:tcPr>
          <w:p w14:paraId="21863B1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vAlign w:val="center"/>
          </w:tcPr>
          <w:p w14:paraId="555BF5C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vAlign w:val="center"/>
          </w:tcPr>
          <w:p w14:paraId="5170B0E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vAlign w:val="center"/>
          </w:tcPr>
          <w:p w14:paraId="7CD0A66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2"/>
                <w:szCs w:val="22"/>
                <w:lang w:bidi="ar"/>
              </w:rPr>
            </w:pPr>
          </w:p>
        </w:tc>
      </w:tr>
      <w:tr w14:paraId="38D5DC6A">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vAlign w:val="center"/>
          </w:tcPr>
          <w:p w14:paraId="46327E4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4"/>
                <w:lang w:bidi="ar"/>
              </w:rPr>
            </w:pPr>
          </w:p>
        </w:tc>
        <w:tc>
          <w:tcPr>
            <w:tcW w:w="1092" w:type="dxa"/>
            <w:tcBorders>
              <w:top w:val="single" w:color="auto" w:sz="4" w:space="0"/>
              <w:left w:val="single" w:color="auto" w:sz="4" w:space="0"/>
              <w:bottom w:val="single" w:color="auto" w:sz="4" w:space="0"/>
              <w:right w:val="single" w:color="auto" w:sz="6" w:space="0"/>
            </w:tcBorders>
            <w:vAlign w:val="center"/>
          </w:tcPr>
          <w:p w14:paraId="5AB08ED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vAlign w:val="center"/>
          </w:tcPr>
          <w:p w14:paraId="787FA5C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sz w:val="24"/>
              </w:rPr>
            </w:pPr>
          </w:p>
        </w:tc>
        <w:tc>
          <w:tcPr>
            <w:tcW w:w="3213" w:type="dxa"/>
            <w:tcBorders>
              <w:top w:val="single" w:color="auto" w:sz="4" w:space="0"/>
              <w:left w:val="single" w:color="auto" w:sz="6" w:space="0"/>
              <w:bottom w:val="single" w:color="auto" w:sz="4" w:space="0"/>
              <w:right w:val="single" w:color="auto" w:sz="6" w:space="0"/>
            </w:tcBorders>
            <w:vAlign w:val="center"/>
          </w:tcPr>
          <w:p w14:paraId="08E9BD6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vAlign w:val="center"/>
          </w:tcPr>
          <w:p w14:paraId="72AFE58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vAlign w:val="center"/>
          </w:tcPr>
          <w:p w14:paraId="411686F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vAlign w:val="center"/>
          </w:tcPr>
          <w:p w14:paraId="35A6DB7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vAlign w:val="center"/>
          </w:tcPr>
          <w:p w14:paraId="4C8FCFB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2"/>
                <w:szCs w:val="22"/>
                <w:lang w:bidi="ar"/>
              </w:rPr>
            </w:pPr>
          </w:p>
        </w:tc>
      </w:tr>
      <w:tr w14:paraId="60692661">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vAlign w:val="center"/>
          </w:tcPr>
          <w:p w14:paraId="09A2974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4"/>
                <w:lang w:bidi="ar"/>
              </w:rPr>
            </w:pPr>
          </w:p>
        </w:tc>
        <w:tc>
          <w:tcPr>
            <w:tcW w:w="1092" w:type="dxa"/>
            <w:tcBorders>
              <w:top w:val="single" w:color="auto" w:sz="4" w:space="0"/>
              <w:left w:val="single" w:color="auto" w:sz="4" w:space="0"/>
              <w:bottom w:val="single" w:color="auto" w:sz="4" w:space="0"/>
              <w:right w:val="single" w:color="auto" w:sz="6" w:space="0"/>
            </w:tcBorders>
            <w:vAlign w:val="center"/>
          </w:tcPr>
          <w:p w14:paraId="2E684E8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vAlign w:val="center"/>
          </w:tcPr>
          <w:p w14:paraId="29DB5EB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sz w:val="24"/>
              </w:rPr>
            </w:pPr>
          </w:p>
        </w:tc>
        <w:tc>
          <w:tcPr>
            <w:tcW w:w="3213" w:type="dxa"/>
            <w:tcBorders>
              <w:top w:val="single" w:color="auto" w:sz="4" w:space="0"/>
              <w:left w:val="single" w:color="auto" w:sz="6" w:space="0"/>
              <w:bottom w:val="single" w:color="auto" w:sz="4" w:space="0"/>
              <w:right w:val="single" w:color="auto" w:sz="6" w:space="0"/>
            </w:tcBorders>
            <w:vAlign w:val="center"/>
          </w:tcPr>
          <w:p w14:paraId="61C6097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vAlign w:val="center"/>
          </w:tcPr>
          <w:p w14:paraId="2663B30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vAlign w:val="center"/>
          </w:tcPr>
          <w:p w14:paraId="5D9AEE8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vAlign w:val="center"/>
          </w:tcPr>
          <w:p w14:paraId="56C947A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vAlign w:val="center"/>
          </w:tcPr>
          <w:p w14:paraId="7883CF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2"/>
                <w:szCs w:val="22"/>
                <w:lang w:bidi="ar"/>
              </w:rPr>
            </w:pPr>
          </w:p>
        </w:tc>
      </w:tr>
      <w:tr w14:paraId="34D76BAF">
        <w:tblPrEx>
          <w:tblCellMar>
            <w:top w:w="0" w:type="dxa"/>
            <w:left w:w="28" w:type="dxa"/>
            <w:bottom w:w="0" w:type="dxa"/>
            <w:right w:w="28" w:type="dxa"/>
          </w:tblCellMar>
        </w:tblPrEx>
        <w:trPr>
          <w:trHeight w:val="567" w:hRule="atLeast"/>
        </w:trPr>
        <w:tc>
          <w:tcPr>
            <w:tcW w:w="1779" w:type="dxa"/>
            <w:gridSpan w:val="2"/>
            <w:tcBorders>
              <w:top w:val="single" w:color="auto" w:sz="4" w:space="0"/>
              <w:left w:val="single" w:color="auto" w:sz="4" w:space="0"/>
              <w:bottom w:val="single" w:color="auto" w:sz="4" w:space="0"/>
              <w:right w:val="single" w:color="auto" w:sz="6" w:space="0"/>
            </w:tcBorders>
            <w:vAlign w:val="center"/>
          </w:tcPr>
          <w:p w14:paraId="21D7E4B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合计</w:t>
            </w:r>
          </w:p>
        </w:tc>
        <w:tc>
          <w:tcPr>
            <w:tcW w:w="7707" w:type="dxa"/>
            <w:gridSpan w:val="6"/>
            <w:tcBorders>
              <w:top w:val="single" w:color="auto" w:sz="4" w:space="0"/>
              <w:left w:val="single" w:color="auto" w:sz="6" w:space="0"/>
              <w:bottom w:val="single" w:color="auto" w:sz="4" w:space="0"/>
              <w:right w:val="single" w:color="auto" w:sz="6" w:space="0"/>
            </w:tcBorders>
            <w:vAlign w:val="center"/>
          </w:tcPr>
          <w:p w14:paraId="6C1D41B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大写：         小写：元</w:t>
            </w:r>
          </w:p>
        </w:tc>
      </w:tr>
    </w:tbl>
    <w:p w14:paraId="349283C9">
      <w:pPr>
        <w:rPr>
          <w:rFonts w:hint="eastAsia" w:ascii="仿宋" w:hAnsi="仿宋" w:eastAsia="仿宋" w:cs="仿宋"/>
          <w:b/>
          <w:bCs/>
          <w:sz w:val="24"/>
        </w:rPr>
      </w:pPr>
      <w:bookmarkStart w:id="0" w:name="_Toc25260"/>
    </w:p>
    <w:p w14:paraId="141A7ECA">
      <w:pPr>
        <w:rPr>
          <w:rFonts w:hint="eastAsia" w:ascii="仿宋" w:hAnsi="仿宋" w:eastAsia="仿宋" w:cs="仿宋"/>
          <w:b/>
          <w:bCs/>
          <w:sz w:val="24"/>
        </w:rPr>
      </w:pPr>
      <w:r>
        <w:rPr>
          <w:rFonts w:hint="eastAsia" w:ascii="仿宋" w:hAnsi="仿宋" w:eastAsia="仿宋" w:cs="仿宋"/>
          <w:b/>
          <w:bCs/>
          <w:sz w:val="24"/>
        </w:rPr>
        <w:t>第二条 合同价款</w:t>
      </w:r>
      <w:bookmarkEnd w:id="0"/>
    </w:p>
    <w:p w14:paraId="201A2D7C">
      <w:pPr>
        <w:ind w:firstLine="480" w:firstLineChars="200"/>
        <w:rPr>
          <w:rFonts w:hint="eastAsia" w:ascii="仿宋" w:hAnsi="仿宋" w:eastAsia="仿宋" w:cs="仿宋"/>
          <w:sz w:val="24"/>
        </w:rPr>
      </w:pPr>
      <w:bookmarkStart w:id="1" w:name="_Toc12829"/>
      <w:r>
        <w:rPr>
          <w:rFonts w:hint="eastAsia" w:ascii="仿宋" w:hAnsi="仿宋" w:eastAsia="仿宋" w:cs="仿宋"/>
          <w:sz w:val="24"/>
        </w:rPr>
        <w:t>1、合同总价：人民币（大写）</w:t>
      </w:r>
      <w:r>
        <w:rPr>
          <w:rFonts w:hint="eastAsia" w:ascii="仿宋" w:hAnsi="仿宋" w:eastAsia="仿宋" w:cs="仿宋"/>
          <w:b/>
          <w:bCs/>
          <w:sz w:val="24"/>
          <w:u w:val="single"/>
        </w:rPr>
        <w:t xml:space="preserve">        </w:t>
      </w:r>
      <w:r>
        <w:rPr>
          <w:rFonts w:hint="eastAsia" w:ascii="仿宋" w:hAnsi="仿宋" w:eastAsia="仿宋" w:cs="仿宋"/>
          <w:sz w:val="24"/>
          <w:u w:val="single"/>
        </w:rPr>
        <w:t>，（¥      元）</w:t>
      </w:r>
      <w:r>
        <w:rPr>
          <w:rFonts w:hint="eastAsia" w:ascii="仿宋" w:hAnsi="仿宋" w:eastAsia="仿宋" w:cs="仿宋"/>
          <w:sz w:val="24"/>
        </w:rPr>
        <w:t>。</w:t>
      </w:r>
      <w:bookmarkEnd w:id="1"/>
    </w:p>
    <w:p w14:paraId="7001A181">
      <w:pPr>
        <w:ind w:firstLine="480" w:firstLineChars="200"/>
        <w:rPr>
          <w:rFonts w:hint="eastAsia" w:ascii="仿宋" w:hAnsi="仿宋" w:eastAsia="仿宋" w:cs="仿宋"/>
          <w:sz w:val="24"/>
        </w:rPr>
      </w:pPr>
      <w:bookmarkStart w:id="2" w:name="_Toc29915"/>
      <w:r>
        <w:rPr>
          <w:rFonts w:hint="eastAsia" w:ascii="仿宋" w:hAnsi="仿宋" w:eastAsia="仿宋" w:cs="仿宋"/>
          <w:sz w:val="24"/>
        </w:rPr>
        <w:t>2、本合同总价是货物（产品）制造、包装、运输、安装、调试、检测、验收合格交付使用之前及保修期内保修服务与备用物件等其他有关各项的含税费用。</w:t>
      </w:r>
      <w:bookmarkEnd w:id="2"/>
    </w:p>
    <w:p w14:paraId="47867626">
      <w:pPr>
        <w:ind w:firstLine="480" w:firstLineChars="200"/>
        <w:rPr>
          <w:rFonts w:hint="eastAsia" w:ascii="仿宋" w:hAnsi="仿宋" w:eastAsia="仿宋" w:cs="仿宋"/>
          <w:sz w:val="24"/>
        </w:rPr>
      </w:pPr>
      <w:bookmarkStart w:id="3" w:name="_Toc22881"/>
      <w:r>
        <w:rPr>
          <w:rFonts w:hint="eastAsia" w:ascii="仿宋" w:hAnsi="仿宋" w:eastAsia="仿宋" w:cs="仿宋"/>
          <w:sz w:val="24"/>
        </w:rPr>
        <w:t>3、本合同总价还包含乙方应当提供的伴随服务和售后服务费用。</w:t>
      </w:r>
      <w:bookmarkEnd w:id="3"/>
    </w:p>
    <w:p w14:paraId="3BFF12C9">
      <w:pPr>
        <w:ind w:firstLine="480" w:firstLineChars="200"/>
        <w:rPr>
          <w:rFonts w:hint="eastAsia" w:ascii="仿宋" w:hAnsi="仿宋" w:eastAsia="仿宋" w:cs="仿宋"/>
          <w:sz w:val="24"/>
        </w:rPr>
      </w:pPr>
      <w:bookmarkStart w:id="4" w:name="_Toc9657"/>
      <w:r>
        <w:rPr>
          <w:rFonts w:hint="eastAsia" w:ascii="仿宋" w:hAnsi="仿宋" w:eastAsia="仿宋" w:cs="仿宋"/>
          <w:sz w:val="24"/>
        </w:rPr>
        <w:t>4、本合同执行期间合同总价不变，甲方无须另向乙方支付本合同规定之外的其他任何费用。</w:t>
      </w:r>
      <w:bookmarkEnd w:id="4"/>
    </w:p>
    <w:p w14:paraId="1A299004">
      <w:pPr>
        <w:rPr>
          <w:rFonts w:hint="eastAsia" w:ascii="仿宋" w:hAnsi="仿宋" w:eastAsia="仿宋" w:cs="仿宋"/>
          <w:b/>
          <w:bCs/>
          <w:sz w:val="24"/>
        </w:rPr>
      </w:pPr>
      <w:r>
        <w:rPr>
          <w:rFonts w:hint="eastAsia" w:ascii="仿宋" w:hAnsi="仿宋" w:eastAsia="仿宋" w:cs="仿宋"/>
          <w:b/>
          <w:bCs/>
          <w:sz w:val="24"/>
        </w:rPr>
        <w:t>第三条 款项结算</w:t>
      </w:r>
    </w:p>
    <w:p w14:paraId="3D8B6565">
      <w:pPr>
        <w:ind w:firstLine="480" w:firstLineChars="200"/>
        <w:rPr>
          <w:rFonts w:hint="eastAsia" w:ascii="仿宋" w:hAnsi="仿宋" w:eastAsia="仿宋" w:cs="仿宋"/>
          <w:sz w:val="24"/>
        </w:rPr>
      </w:pPr>
      <w:r>
        <w:rPr>
          <w:rFonts w:hint="eastAsia" w:ascii="仿宋" w:hAnsi="仿宋" w:eastAsia="仿宋" w:cs="仿宋"/>
          <w:sz w:val="24"/>
        </w:rPr>
        <w:t>1、交货期：20日历天</w:t>
      </w:r>
    </w:p>
    <w:p w14:paraId="242FA502">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付款条件说明：货物安装调试完成并验收合格后，达到付款条件起15日内，支付合同总金额的100.00% ；</w:t>
      </w:r>
    </w:p>
    <w:p w14:paraId="30D1A73A">
      <w:pPr>
        <w:ind w:firstLine="480" w:firstLineChars="200"/>
        <w:rPr>
          <w:rFonts w:hint="eastAsia" w:ascii="仿宋" w:hAnsi="仿宋" w:eastAsia="仿宋" w:cs="仿宋"/>
          <w:sz w:val="24"/>
        </w:rPr>
      </w:pPr>
      <w:r>
        <w:rPr>
          <w:rFonts w:hint="eastAsia" w:ascii="仿宋" w:hAnsi="仿宋" w:eastAsia="仿宋" w:cs="仿宋"/>
          <w:sz w:val="24"/>
        </w:rPr>
        <w:t>3、乙方须向甲方出具合法有效的完税发票，甲方进行支付结算。</w:t>
      </w:r>
    </w:p>
    <w:p w14:paraId="7381CA54">
      <w:pPr>
        <w:widowControl w:val="0"/>
        <w:spacing w:after="120"/>
        <w:jc w:val="both"/>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第四条 权利保证</w:t>
      </w:r>
    </w:p>
    <w:p w14:paraId="7A6689CC">
      <w:pPr>
        <w:widowControl w:val="0"/>
        <w:spacing w:line="240" w:lineRule="auto"/>
        <w:ind w:firstLine="480" w:firstLineChars="200"/>
        <w:jc w:val="both"/>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1、乙方保证对其出售的货物享有合法的权利。</w:t>
      </w:r>
    </w:p>
    <w:p w14:paraId="1543AF52">
      <w:pPr>
        <w:widowControl w:val="0"/>
        <w:spacing w:line="240" w:lineRule="auto"/>
        <w:ind w:firstLine="480" w:firstLineChars="200"/>
        <w:jc w:val="both"/>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2、乙方保证对其出售的货物上不存在任何未曾向甲方透露的担保物权，如抵押权、质押权、留置权。</w:t>
      </w:r>
    </w:p>
    <w:p w14:paraId="2AECA594">
      <w:pPr>
        <w:widowControl w:val="0"/>
        <w:spacing w:line="240" w:lineRule="auto"/>
        <w:ind w:firstLine="480" w:firstLineChars="200"/>
        <w:jc w:val="both"/>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3、乙方保证对其出售的货物或其任何一部分没有侵犯第三方的专利权、版权、商标权或其他权利。</w:t>
      </w:r>
    </w:p>
    <w:p w14:paraId="1039CD5B">
      <w:pPr>
        <w:widowControl w:val="0"/>
        <w:spacing w:line="240" w:lineRule="auto"/>
        <w:ind w:left="141" w:leftChars="67" w:firstLine="360" w:firstLineChars="150"/>
        <w:jc w:val="both"/>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kern w:val="2"/>
          <w:sz w:val="24"/>
          <w:szCs w:val="24"/>
          <w:lang w:val="en-US" w:eastAsia="zh-CN" w:bidi="ar-SA"/>
        </w:rPr>
        <w:t>4、如甲方在使用该货物构成上述侵权的，则由乙方承担全部责任。</w:t>
      </w:r>
    </w:p>
    <w:p w14:paraId="781C790B">
      <w:pPr>
        <w:widowControl w:val="0"/>
        <w:spacing w:after="120"/>
        <w:jc w:val="both"/>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第五条 交货时间与地点</w:t>
      </w:r>
    </w:p>
    <w:p w14:paraId="0244AD8C">
      <w:pPr>
        <w:widowControl w:val="0"/>
        <w:spacing w:after="120"/>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乙方在合同签订生效之日起，按甲方指定时间、地点交货。</w:t>
      </w:r>
    </w:p>
    <w:p w14:paraId="4CF7BB94">
      <w:pPr>
        <w:widowControl w:val="0"/>
        <w:spacing w:after="120"/>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1、交货期：20日历天。</w:t>
      </w:r>
    </w:p>
    <w:p w14:paraId="6AFA5810">
      <w:pPr>
        <w:widowControl w:val="0"/>
        <w:spacing w:after="120"/>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2、交货地点：西安市阳光中学</w:t>
      </w:r>
    </w:p>
    <w:p w14:paraId="21F36E00">
      <w:pPr>
        <w:widowControl w:val="0"/>
        <w:spacing w:line="240" w:lineRule="auto"/>
        <w:ind w:firstLine="0" w:firstLineChars="0"/>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 xml:space="preserve">第六条 包装要求与运输方式  </w:t>
      </w:r>
    </w:p>
    <w:p w14:paraId="6044810E">
      <w:pPr>
        <w:widowControl w:val="0"/>
        <w:spacing w:line="240" w:lineRule="auto"/>
        <w:ind w:left="141" w:leftChars="67" w:firstLine="360" w:firstLineChars="1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1、除合同另有规定外，乙方提供的全部货物均应按标准保护措施进行包装，该包装应适应于远距离运输、防潮、防震、防锈和防野蛮装卸，以确保货物安全运抵指定地点。</w:t>
      </w:r>
    </w:p>
    <w:p w14:paraId="576260AA">
      <w:pPr>
        <w:widowControl w:val="0"/>
        <w:spacing w:line="240" w:lineRule="auto"/>
        <w:ind w:left="141" w:leftChars="67" w:firstLine="360" w:firstLineChars="1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2、每一包装单元应附详细的装箱单和质量合格证。</w:t>
      </w:r>
    </w:p>
    <w:p w14:paraId="08A12E16">
      <w:pPr>
        <w:widowControl w:val="0"/>
        <w:spacing w:line="240" w:lineRule="auto"/>
        <w:ind w:left="141" w:leftChars="67" w:firstLine="360" w:firstLineChars="1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3、货物（产品）运输方式</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 xml:space="preserve"> 。</w:t>
      </w:r>
    </w:p>
    <w:p w14:paraId="7D6BF099">
      <w:pPr>
        <w:widowControl w:val="0"/>
        <w:spacing w:line="240" w:lineRule="auto"/>
        <w:ind w:left="141" w:leftChars="67" w:firstLine="360" w:firstLineChars="1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4、乙方负责货物（产品）运输，货物运输的合理损耗及计算方法。</w:t>
      </w:r>
    </w:p>
    <w:p w14:paraId="0889A7D6">
      <w:pPr>
        <w:widowControl w:val="0"/>
        <w:spacing w:before="156" w:beforeLines="50" w:after="156" w:afterLines="50" w:line="240" w:lineRule="auto"/>
        <w:ind w:firstLine="0" w:firstLineChars="0"/>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第七条 质量保证</w:t>
      </w:r>
    </w:p>
    <w:p w14:paraId="21B508BB">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1、乙方须提供全新的、未使用过的合格正品货物（含零部件、配件等），完全符合合同规定的质量、规格和性能的要求。</w:t>
      </w:r>
    </w:p>
    <w:p w14:paraId="16CCFEC2">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2、乙方提供的节能和环保产品必须是列入政府采购清单的产品。</w:t>
      </w:r>
    </w:p>
    <w:p w14:paraId="4C1DDF24">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3、质量标准按照最新颁布的国家标准、行业标准或制造商企业标准确定，上述标准不一致的，以严格标准为准。</w:t>
      </w:r>
    </w:p>
    <w:p w14:paraId="03DA2FF7">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4、乙方所提供货物还应符合国家和陕西省有关安全、环保、节能之规定，“3C”认证的货物（产品）应加贴“3C”认证标志。</w:t>
      </w:r>
    </w:p>
    <w:p w14:paraId="4DB9C5AD">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5、货物制造质量出现问题，乙方应负责三包（包修、包换、包退），费用由乙方负担，甲方有权到乙方生产场地检查货物质量和生产进度。</w:t>
      </w:r>
    </w:p>
    <w:p w14:paraId="23497B8F">
      <w:pPr>
        <w:widowControl w:val="0"/>
        <w:spacing w:before="156" w:beforeLines="50" w:after="156" w:afterLines="50" w:line="240" w:lineRule="auto"/>
        <w:ind w:firstLine="0" w:firstLineChars="0"/>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第八条 交货、验收要求</w:t>
      </w:r>
    </w:p>
    <w:p w14:paraId="0948D52E">
      <w:pPr>
        <w:ind w:firstLine="480" w:firstLineChars="200"/>
        <w:rPr>
          <w:rFonts w:hint="eastAsia" w:ascii="仿宋" w:hAnsi="仿宋" w:eastAsia="仿宋" w:cs="仿宋"/>
          <w:sz w:val="24"/>
        </w:rPr>
      </w:pPr>
      <w:r>
        <w:rPr>
          <w:rFonts w:hint="eastAsia" w:ascii="仿宋" w:hAnsi="仿宋" w:eastAsia="仿宋" w:cs="仿宋"/>
          <w:sz w:val="24"/>
        </w:rPr>
        <w:t>1、硬件设备到达甲方指定地点后，组织现场开箱</w:t>
      </w:r>
      <w:r>
        <w:rPr>
          <w:rFonts w:hint="eastAsia" w:ascii="仿宋" w:hAnsi="仿宋" w:eastAsia="仿宋" w:cs="仿宋"/>
          <w:sz w:val="24"/>
          <w:lang w:val="en-US" w:eastAsia="zh-CN"/>
        </w:rPr>
        <w:t>清</w:t>
      </w:r>
      <w:r>
        <w:rPr>
          <w:rFonts w:hint="eastAsia" w:ascii="仿宋" w:hAnsi="仿宋" w:eastAsia="仿宋" w:cs="仿宋"/>
          <w:sz w:val="24"/>
        </w:rPr>
        <w:t>点验货。所到设备的型号和数量必须与合同一致，甲方和乙方共同签署到货验收单。未签收到货验收单的货物不得擅自开箱安装。</w:t>
      </w:r>
    </w:p>
    <w:p w14:paraId="46E9EE88">
      <w:pPr>
        <w:ind w:firstLine="480" w:firstLineChars="200"/>
        <w:rPr>
          <w:rFonts w:hint="eastAsia" w:ascii="仿宋" w:hAnsi="仿宋" w:eastAsia="仿宋" w:cs="仿宋"/>
          <w:sz w:val="24"/>
        </w:rPr>
      </w:pPr>
      <w:r>
        <w:rPr>
          <w:rFonts w:hint="eastAsia" w:ascii="仿宋" w:hAnsi="仿宋" w:eastAsia="仿宋" w:cs="仿宋"/>
          <w:sz w:val="24"/>
        </w:rPr>
        <w:t>2、乙方保证合同所有设备是全新的（包括零部件），其规格参数及配件不低于（符合）本项目谈判文件和响应文件的要求。</w:t>
      </w:r>
    </w:p>
    <w:p w14:paraId="7B32C1E1">
      <w:pPr>
        <w:ind w:firstLine="480" w:firstLineChars="200"/>
        <w:rPr>
          <w:rFonts w:hint="eastAsia" w:ascii="仿宋" w:hAnsi="仿宋" w:eastAsia="仿宋" w:cs="仿宋"/>
          <w:sz w:val="24"/>
        </w:rPr>
      </w:pPr>
      <w:r>
        <w:rPr>
          <w:rFonts w:hint="eastAsia" w:ascii="仿宋" w:hAnsi="仿宋" w:eastAsia="仿宋" w:cs="仿宋"/>
          <w:sz w:val="24"/>
        </w:rPr>
        <w:t>3、安装完成，乙方进行自测并形成自测报告（软硬件），出现的问题限期整改。自检最终通过后，乙方提出验收申请，甲方组织相关人员进行最终验收。</w:t>
      </w:r>
    </w:p>
    <w:p w14:paraId="38C90FAF">
      <w:pPr>
        <w:ind w:firstLine="480" w:firstLineChars="200"/>
        <w:rPr>
          <w:rFonts w:hint="eastAsia" w:ascii="仿宋" w:hAnsi="仿宋" w:eastAsia="仿宋" w:cs="仿宋"/>
          <w:sz w:val="24"/>
        </w:rPr>
      </w:pPr>
      <w:r>
        <w:rPr>
          <w:rFonts w:hint="eastAsia" w:ascii="仿宋" w:hAnsi="仿宋" w:eastAsia="仿宋" w:cs="仿宋"/>
          <w:sz w:val="24"/>
        </w:rPr>
        <w:t>4、设备采购从通过最终验收之日起进入保修期，提供原厂保修升级。</w:t>
      </w:r>
    </w:p>
    <w:p w14:paraId="6D4C9E3E">
      <w:pPr>
        <w:widowControl w:val="0"/>
        <w:spacing w:before="156" w:beforeLines="50" w:after="156" w:afterLines="50" w:line="240" w:lineRule="auto"/>
        <w:ind w:firstLine="0" w:firstLineChars="0"/>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第九条 售后服务要求</w:t>
      </w:r>
    </w:p>
    <w:p w14:paraId="784C5DAA">
      <w:pPr>
        <w:ind w:firstLine="480" w:firstLineChars="200"/>
        <w:rPr>
          <w:rFonts w:hint="eastAsia" w:ascii="仿宋" w:hAnsi="仿宋" w:eastAsia="仿宋" w:cs="仿宋"/>
          <w:sz w:val="24"/>
        </w:rPr>
      </w:pPr>
      <w:r>
        <w:rPr>
          <w:rFonts w:hint="eastAsia" w:ascii="仿宋" w:hAnsi="仿宋" w:eastAsia="仿宋" w:cs="仿宋"/>
          <w:sz w:val="24"/>
        </w:rPr>
        <w:t xml:space="preserve">1、派专人对学校提供售后服务，并每月定期对所提供的软硬件设备、材料等进行巡检，做好巡检记录；                  </w:t>
      </w:r>
    </w:p>
    <w:p w14:paraId="219A17FA">
      <w:pPr>
        <w:widowControl/>
        <w:ind w:firstLine="480" w:firstLineChars="200"/>
        <w:jc w:val="left"/>
        <w:rPr>
          <w:rFonts w:hint="eastAsia" w:ascii="仿宋" w:hAnsi="仿宋" w:eastAsia="仿宋" w:cs="仿宋"/>
          <w:sz w:val="24"/>
        </w:rPr>
      </w:pPr>
      <w:r>
        <w:rPr>
          <w:rFonts w:hint="eastAsia" w:ascii="仿宋" w:hAnsi="仿宋" w:eastAsia="仿宋" w:cs="仿宋"/>
          <w:sz w:val="24"/>
        </w:rPr>
        <w:t>2、货物（产品）的现场安装、调试和启动监督；</w:t>
      </w:r>
    </w:p>
    <w:p w14:paraId="002DC20C">
      <w:pPr>
        <w:widowControl/>
        <w:ind w:firstLine="480" w:firstLineChars="200"/>
        <w:jc w:val="left"/>
        <w:rPr>
          <w:rFonts w:hint="eastAsia" w:ascii="仿宋" w:hAnsi="仿宋" w:eastAsia="仿宋" w:cs="仿宋"/>
          <w:sz w:val="24"/>
        </w:rPr>
      </w:pPr>
      <w:r>
        <w:rPr>
          <w:rFonts w:hint="eastAsia" w:ascii="仿宋" w:hAnsi="仿宋" w:eastAsia="仿宋" w:cs="仿宋"/>
          <w:sz w:val="24"/>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7606D6FE">
      <w:pPr>
        <w:widowControl/>
        <w:ind w:firstLine="480" w:firstLineChars="200"/>
        <w:jc w:val="left"/>
        <w:rPr>
          <w:rFonts w:hint="eastAsia" w:ascii="仿宋" w:hAnsi="仿宋" w:eastAsia="仿宋" w:cs="仿宋"/>
          <w:sz w:val="24"/>
        </w:rPr>
      </w:pPr>
      <w:r>
        <w:rPr>
          <w:rFonts w:hint="eastAsia" w:ascii="仿宋" w:hAnsi="仿宋" w:eastAsia="仿宋" w:cs="仿宋"/>
          <w:sz w:val="24"/>
        </w:rPr>
        <w:t>4、质保期自采购人在货物质量验收单（终验）上签字之日起计算；</w:t>
      </w:r>
    </w:p>
    <w:p w14:paraId="0C381907">
      <w:pPr>
        <w:widowControl/>
        <w:ind w:firstLine="480" w:firstLineChars="200"/>
        <w:jc w:val="left"/>
        <w:rPr>
          <w:rFonts w:hint="eastAsia" w:ascii="仿宋" w:hAnsi="仿宋" w:eastAsia="仿宋" w:cs="仿宋"/>
          <w:sz w:val="24"/>
        </w:rPr>
      </w:pPr>
      <w:r>
        <w:rPr>
          <w:rFonts w:hint="eastAsia" w:ascii="仿宋" w:hAnsi="仿宋" w:eastAsia="仿宋" w:cs="仿宋"/>
          <w:sz w:val="24"/>
        </w:rPr>
        <w:t>5、乙方对其所提供软硬件设备、材料等负责备品配件的供应，长期提供维修服务，并提供技术咨询等服务。质保期内应无偿负责的维修和替换等工作。超出质保期只收取维修所需原设备、材料成本费用；</w:t>
      </w:r>
    </w:p>
    <w:p w14:paraId="293F3AD2">
      <w:pPr>
        <w:widowControl/>
        <w:ind w:firstLine="480" w:firstLineChars="200"/>
        <w:jc w:val="left"/>
        <w:rPr>
          <w:rFonts w:hint="eastAsia" w:ascii="仿宋" w:hAnsi="仿宋" w:eastAsia="仿宋" w:cs="仿宋"/>
          <w:sz w:val="24"/>
        </w:rPr>
      </w:pPr>
      <w:r>
        <w:rPr>
          <w:rFonts w:hint="eastAsia" w:ascii="仿宋" w:hAnsi="仿宋" w:eastAsia="仿宋" w:cs="仿宋"/>
          <w:sz w:val="24"/>
        </w:rPr>
        <w:t>6、服务响应时限：7*24小时服务，提供售后服务电话（应具有：固定电话、移动电话、传真）；</w:t>
      </w:r>
    </w:p>
    <w:p w14:paraId="68EFEFF2">
      <w:pPr>
        <w:widowControl/>
        <w:ind w:firstLine="480" w:firstLineChars="200"/>
        <w:jc w:val="left"/>
        <w:rPr>
          <w:rFonts w:hint="eastAsia" w:ascii="仿宋" w:hAnsi="仿宋" w:eastAsia="仿宋" w:cs="仿宋"/>
          <w:sz w:val="24"/>
        </w:rPr>
      </w:pPr>
      <w:r>
        <w:rPr>
          <w:rFonts w:hint="eastAsia" w:ascii="仿宋" w:hAnsi="仿宋" w:eastAsia="仿宋" w:cs="仿宋"/>
          <w:sz w:val="24"/>
        </w:rPr>
        <w:t>7、成交供应商在接到采购人通知后维修工作时间不大于24小时，更换工作时间不大于72小时；</w:t>
      </w:r>
    </w:p>
    <w:p w14:paraId="6289A9A4">
      <w:pPr>
        <w:widowControl/>
        <w:ind w:firstLine="480" w:firstLineChars="200"/>
        <w:jc w:val="left"/>
        <w:rPr>
          <w:rFonts w:hint="eastAsia" w:ascii="仿宋" w:hAnsi="仿宋" w:eastAsia="仿宋" w:cs="仿宋"/>
          <w:sz w:val="24"/>
        </w:rPr>
      </w:pPr>
      <w:r>
        <w:rPr>
          <w:rFonts w:hint="eastAsia" w:ascii="仿宋" w:hAnsi="仿宋" w:eastAsia="仿宋" w:cs="仿宋"/>
          <w:sz w:val="24"/>
        </w:rPr>
        <w:t>8、若乙方未按照合同规定的售后服务要求执行，甲方有权自行选择第三方进行维护和修理；</w:t>
      </w:r>
    </w:p>
    <w:p w14:paraId="56C2F33F">
      <w:pPr>
        <w:widowControl/>
        <w:ind w:firstLine="480" w:firstLineChars="200"/>
        <w:jc w:val="left"/>
        <w:rPr>
          <w:rFonts w:hint="eastAsia" w:ascii="仿宋" w:hAnsi="仿宋" w:eastAsia="仿宋" w:cs="仿宋"/>
          <w:sz w:val="24"/>
        </w:rPr>
      </w:pPr>
      <w:r>
        <w:rPr>
          <w:rFonts w:hint="eastAsia" w:ascii="仿宋" w:hAnsi="仿宋" w:eastAsia="仿宋" w:cs="仿宋"/>
          <w:sz w:val="24"/>
        </w:rPr>
        <w:t>9、在质保期内更换系统中部件（包括软件和硬件），其保修期应相应延长。</w:t>
      </w:r>
    </w:p>
    <w:p w14:paraId="3AB979FB">
      <w:pPr>
        <w:widowControl/>
        <w:ind w:firstLine="480" w:firstLineChars="200"/>
        <w:jc w:val="left"/>
        <w:rPr>
          <w:rFonts w:hint="eastAsia" w:ascii="仿宋" w:hAnsi="仿宋" w:eastAsia="仿宋" w:cs="仿宋"/>
          <w:sz w:val="24"/>
        </w:rPr>
      </w:pPr>
      <w:r>
        <w:rPr>
          <w:rFonts w:hint="eastAsia" w:ascii="仿宋" w:hAnsi="仿宋" w:eastAsia="仿宋" w:cs="仿宋"/>
          <w:sz w:val="24"/>
        </w:rPr>
        <w:t>11、所有货物服务方式均为成交供应商上门服务，即由成交供应商派员到货物使用现场维修，由此产生的一切费用均由成交供应商承担；</w:t>
      </w:r>
    </w:p>
    <w:p w14:paraId="7F812B65">
      <w:pPr>
        <w:widowControl/>
        <w:ind w:firstLine="480" w:firstLineChars="200"/>
        <w:jc w:val="left"/>
        <w:rPr>
          <w:rFonts w:hint="eastAsia" w:ascii="仿宋" w:hAnsi="仿宋" w:eastAsia="仿宋" w:cs="仿宋"/>
          <w:sz w:val="24"/>
        </w:rPr>
      </w:pPr>
      <w:r>
        <w:rPr>
          <w:rFonts w:hint="eastAsia" w:ascii="仿宋" w:hAnsi="仿宋" w:eastAsia="仿宋" w:cs="仿宋"/>
          <w:sz w:val="24"/>
        </w:rPr>
        <w:t>12、质保期结束后的货物维修、维护由双方协商再定；</w:t>
      </w:r>
    </w:p>
    <w:p w14:paraId="5D6EE56A">
      <w:pPr>
        <w:widowControl w:val="0"/>
        <w:spacing w:after="156" w:afterLines="50" w:line="240" w:lineRule="auto"/>
        <w:ind w:firstLine="0" w:firstLineChars="0"/>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13、质保期：</w:t>
      </w:r>
      <w:r>
        <w:rPr>
          <w:rFonts w:hint="eastAsia" w:ascii="仿宋" w:hAnsi="仿宋" w:eastAsia="仿宋" w:cs="仿宋"/>
          <w:kern w:val="2"/>
          <w:sz w:val="24"/>
          <w:szCs w:val="24"/>
          <w:u w:val="single"/>
          <w:lang w:val="en-US" w:eastAsia="zh-CN" w:bidi="ar-SA"/>
        </w:rPr>
        <w:t>硬件产品质保三年</w:t>
      </w:r>
    </w:p>
    <w:p w14:paraId="30A8FB2D">
      <w:pPr>
        <w:widowControl w:val="0"/>
        <w:spacing w:after="156" w:afterLines="50" w:line="240" w:lineRule="auto"/>
        <w:ind w:firstLine="0" w:firstLineChars="0"/>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第十条 违约责任</w:t>
      </w:r>
    </w:p>
    <w:p w14:paraId="34C05ED8">
      <w:pPr>
        <w:numPr>
          <w:ilvl w:val="0"/>
          <w:numId w:val="1"/>
        </w:num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按《中华人民共和国民法典》中的相关条款执行。</w:t>
      </w:r>
    </w:p>
    <w:p w14:paraId="6809F6C0">
      <w:pPr>
        <w:numPr>
          <w:ilvl w:val="0"/>
          <w:numId w:val="1"/>
        </w:num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乙方履约延误</w:t>
      </w:r>
    </w:p>
    <w:p w14:paraId="49AC51FB">
      <w:pPr>
        <w:numPr>
          <w:ilvl w:val="0"/>
          <w:numId w:val="0"/>
        </w:numPr>
        <w:ind w:firstLine="420" w:firstLineChars="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2.1如乙方事先未征得甲方同意并得到甲方的谅解而单方面延迟交货，将按违约终止合同。</w:t>
      </w:r>
    </w:p>
    <w:p w14:paraId="4B30630B">
      <w:pPr>
        <w:numPr>
          <w:ilvl w:val="0"/>
          <w:numId w:val="0"/>
        </w:numPr>
        <w:ind w:firstLine="420" w:firstLineChars="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4752DCC">
      <w:pPr>
        <w:numPr>
          <w:ilvl w:val="0"/>
          <w:numId w:val="1"/>
        </w:num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因采购人原因导制变更、中止或者终止政府采购合同的，采购人应当依照合同约定对供应商受到的损失予以赔偿或者补偿。</w:t>
      </w:r>
    </w:p>
    <w:p w14:paraId="367A595E">
      <w:pPr>
        <w:numPr>
          <w:ilvl w:val="0"/>
          <w:numId w:val="1"/>
        </w:num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违约终止合同：未按合同要求提供货物或质量不能满足技术要求，甲方会同监督机构有权终止合同，对乙方违约行为进行追究，同时按政府采购法的有关规定进行相应的处罚。</w:t>
      </w:r>
    </w:p>
    <w:p w14:paraId="22B8522F">
      <w:pPr>
        <w:spacing w:before="156" w:beforeLines="50" w:after="156" w:afterLines="50"/>
        <w:rPr>
          <w:rFonts w:hint="eastAsia" w:ascii="仿宋" w:hAnsi="仿宋" w:eastAsia="仿宋" w:cs="仿宋"/>
          <w:sz w:val="24"/>
        </w:rPr>
      </w:pPr>
      <w:r>
        <w:rPr>
          <w:rFonts w:hint="eastAsia" w:ascii="仿宋" w:hAnsi="仿宋" w:eastAsia="仿宋" w:cs="仿宋"/>
          <w:b/>
          <w:sz w:val="24"/>
        </w:rPr>
        <w:t>第十一条 合同的变更和终止</w:t>
      </w:r>
    </w:p>
    <w:p w14:paraId="19B14D56">
      <w:pPr>
        <w:ind w:firstLine="480" w:firstLineChars="200"/>
        <w:rPr>
          <w:rFonts w:hint="eastAsia" w:ascii="仿宋" w:hAnsi="仿宋" w:eastAsia="仿宋" w:cs="仿宋"/>
          <w:sz w:val="24"/>
        </w:rPr>
      </w:pPr>
      <w:r>
        <w:rPr>
          <w:rFonts w:hint="eastAsia" w:ascii="仿宋" w:hAnsi="仿宋" w:eastAsia="仿宋" w:cs="仿宋"/>
          <w:sz w:val="24"/>
        </w:rPr>
        <w:t>除《中华人民共和国政府采购法》第49条、第50条第二款规定的情形外，本合同一经签订，甲乙双方不得擅自变更、中止或终止合同。</w:t>
      </w:r>
    </w:p>
    <w:p w14:paraId="46A2543C">
      <w:pPr>
        <w:ind w:firstLine="480" w:firstLineChars="200"/>
        <w:rPr>
          <w:rFonts w:hint="eastAsia" w:ascii="仿宋" w:hAnsi="仿宋" w:eastAsia="仿宋" w:cs="仿宋"/>
          <w:sz w:val="24"/>
          <w:lang w:eastAsia="zh-CN"/>
        </w:rPr>
      </w:pPr>
      <w:r>
        <w:rPr>
          <w:rFonts w:hint="eastAsia" w:ascii="仿宋" w:hAnsi="仿宋" w:eastAsia="仿宋" w:cs="仿宋"/>
          <w:sz w:val="24"/>
        </w:rPr>
        <w:t>《中华人民共和国政府采购法》</w:t>
      </w:r>
      <w:r>
        <w:rPr>
          <w:rFonts w:hint="eastAsia" w:ascii="仿宋" w:hAnsi="仿宋" w:eastAsia="仿宋" w:cs="仿宋"/>
          <w:sz w:val="24"/>
          <w:lang w:eastAsia="zh-CN"/>
        </w:rPr>
        <w:t>：</w:t>
      </w:r>
    </w:p>
    <w:p w14:paraId="389D5BCD">
      <w:pPr>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第49条】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585157F3">
      <w:pPr>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【第50条】政府采购合同的双方当事人不得擅自变更、中止或者终止合同。</w:t>
      </w:r>
    </w:p>
    <w:p w14:paraId="76B00F1A">
      <w:pPr>
        <w:ind w:firstLine="480" w:firstLineChars="200"/>
        <w:rPr>
          <w:rFonts w:hint="eastAsia" w:ascii="仿宋" w:hAnsi="仿宋" w:eastAsia="仿宋" w:cs="仿宋"/>
          <w:sz w:val="24"/>
          <w:lang w:eastAsia="zh-CN"/>
        </w:rPr>
      </w:pPr>
      <w:r>
        <w:rPr>
          <w:rFonts w:hint="eastAsia" w:ascii="仿宋" w:hAnsi="仿宋" w:eastAsia="仿宋" w:cs="仿宋"/>
          <w:sz w:val="24"/>
          <w:lang w:eastAsia="zh-CN"/>
        </w:rPr>
        <w:t>政府采购合同继续履行将损害国家利益和社会公共利益的，双方当事人应当变更、中止或者终止合同。有过错的一方应当承担赔偿责任，双方都有过错的，各自承担相应的责任。</w:t>
      </w:r>
    </w:p>
    <w:p w14:paraId="4FBBAE82">
      <w:pPr>
        <w:spacing w:before="156" w:beforeLines="50" w:after="156" w:afterLines="50"/>
        <w:rPr>
          <w:rFonts w:hint="eastAsia" w:ascii="仿宋" w:hAnsi="仿宋" w:eastAsia="仿宋" w:cs="仿宋"/>
          <w:b/>
          <w:sz w:val="24"/>
        </w:rPr>
      </w:pPr>
      <w:r>
        <w:rPr>
          <w:rFonts w:hint="eastAsia" w:ascii="仿宋" w:hAnsi="仿宋" w:eastAsia="仿宋" w:cs="仿宋"/>
          <w:b/>
          <w:sz w:val="24"/>
        </w:rPr>
        <w:t>第十二条 争议的解决</w:t>
      </w:r>
    </w:p>
    <w:p w14:paraId="22301971">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1、因货物的质量问题发生争议，由质量技术监督部门或其指定的质量鉴定机构进行质量鉴定。货物符合标准的，鉴定费由甲方承担；货物不符合质量标准的，鉴定费由乙方承担。</w:t>
      </w:r>
    </w:p>
    <w:p w14:paraId="05AE8B0D">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2、因履行本合同引起的或与本合同有关的争议，甲、乙双方应首先通过友好协商解决，如果协商不成，则采取以下第</w:t>
      </w:r>
      <w:r>
        <w:rPr>
          <w:rFonts w:hint="eastAsia" w:ascii="仿宋" w:hAnsi="仿宋" w:eastAsia="仿宋" w:cs="仿宋"/>
          <w:kern w:val="2"/>
          <w:sz w:val="24"/>
          <w:szCs w:val="24"/>
          <w:u w:val="single"/>
          <w:lang w:val="en-US" w:eastAsia="zh-CN" w:bidi="ar-SA"/>
        </w:rPr>
        <w:t xml:space="preserve"> 2 </w:t>
      </w:r>
      <w:r>
        <w:rPr>
          <w:rFonts w:hint="eastAsia" w:ascii="仿宋" w:hAnsi="仿宋" w:eastAsia="仿宋" w:cs="仿宋"/>
          <w:kern w:val="2"/>
          <w:sz w:val="24"/>
          <w:szCs w:val="24"/>
          <w:lang w:val="en-US" w:eastAsia="zh-CN" w:bidi="ar-SA"/>
        </w:rPr>
        <w:t>种方式解决争议：</w:t>
      </w:r>
    </w:p>
    <w:p w14:paraId="2760B93D">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（1）向甲方所在地有管辖权的人民法院提起诉讼；</w:t>
      </w:r>
    </w:p>
    <w:p w14:paraId="7A62CC9E">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（2）向</w:t>
      </w:r>
      <w:r>
        <w:rPr>
          <w:rFonts w:hint="eastAsia" w:ascii="仿宋" w:hAnsi="仿宋" w:eastAsia="仿宋" w:cs="仿宋"/>
          <w:kern w:val="2"/>
          <w:sz w:val="24"/>
          <w:szCs w:val="24"/>
          <w:u w:val="single"/>
          <w:lang w:val="en-US" w:eastAsia="zh-CN" w:bidi="ar-SA"/>
        </w:rPr>
        <w:t xml:space="preserve"> 西安 </w:t>
      </w:r>
      <w:r>
        <w:rPr>
          <w:rFonts w:hint="eastAsia" w:ascii="仿宋" w:hAnsi="仿宋" w:eastAsia="仿宋" w:cs="仿宋"/>
          <w:kern w:val="2"/>
          <w:sz w:val="24"/>
          <w:szCs w:val="24"/>
          <w:lang w:val="en-US" w:eastAsia="zh-CN" w:bidi="ar-SA"/>
        </w:rPr>
        <w:t>仲裁委员会按其仲裁规则申请仲裁。</w:t>
      </w:r>
    </w:p>
    <w:p w14:paraId="00283683">
      <w:pPr>
        <w:widowControl w:val="0"/>
        <w:spacing w:line="24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3．在仲裁期间，本合同应继续履行。</w:t>
      </w:r>
    </w:p>
    <w:p w14:paraId="6878C4D9">
      <w:pPr>
        <w:snapToGrid w:val="0"/>
        <w:spacing w:before="156" w:beforeLines="50" w:after="156" w:afterLines="50"/>
        <w:textAlignment w:val="baseline"/>
        <w:rPr>
          <w:rFonts w:hint="eastAsia" w:ascii="仿宋" w:hAnsi="仿宋" w:eastAsia="仿宋" w:cs="仿宋"/>
          <w:b/>
          <w:sz w:val="24"/>
        </w:rPr>
      </w:pPr>
      <w:r>
        <w:rPr>
          <w:rFonts w:hint="eastAsia" w:ascii="仿宋" w:hAnsi="仿宋" w:eastAsia="仿宋" w:cs="仿宋"/>
          <w:b/>
          <w:sz w:val="24"/>
        </w:rPr>
        <w:t>第十三条 合同生效及其他</w:t>
      </w:r>
    </w:p>
    <w:p w14:paraId="5FEC070D">
      <w:pPr>
        <w:snapToGrid w:val="0"/>
        <w:ind w:firstLine="539"/>
        <w:rPr>
          <w:rFonts w:hint="eastAsia" w:ascii="仿宋" w:hAnsi="仿宋" w:eastAsia="仿宋" w:cs="仿宋"/>
          <w:sz w:val="24"/>
        </w:rPr>
      </w:pPr>
      <w:r>
        <w:rPr>
          <w:rFonts w:hint="eastAsia" w:ascii="仿宋" w:hAnsi="仿宋" w:eastAsia="仿宋" w:cs="仿宋"/>
          <w:sz w:val="24"/>
        </w:rPr>
        <w:t>1、如有未尽事宜，由双方依法订立补充合同。</w:t>
      </w:r>
    </w:p>
    <w:p w14:paraId="24355855">
      <w:pPr>
        <w:snapToGrid w:val="0"/>
        <w:ind w:firstLine="539"/>
        <w:rPr>
          <w:rFonts w:hint="eastAsia" w:ascii="仿宋" w:hAnsi="仿宋" w:eastAsia="仿宋" w:cs="仿宋"/>
          <w:sz w:val="24"/>
        </w:rPr>
      </w:pPr>
      <w:r>
        <w:rPr>
          <w:rFonts w:hint="eastAsia" w:ascii="仿宋" w:hAnsi="仿宋" w:eastAsia="仿宋" w:cs="仿宋"/>
          <w:sz w:val="24"/>
        </w:rPr>
        <w:t>2、本合同自签订之日起生效。</w:t>
      </w:r>
    </w:p>
    <w:p w14:paraId="50AB5FC8">
      <w:pPr>
        <w:snapToGrid w:val="0"/>
        <w:ind w:firstLine="539"/>
        <w:rPr>
          <w:rFonts w:hint="eastAsia" w:ascii="仿宋" w:hAnsi="仿宋" w:eastAsia="仿宋" w:cs="仿宋"/>
          <w:sz w:val="24"/>
        </w:rPr>
      </w:pPr>
      <w:r>
        <w:rPr>
          <w:rFonts w:hint="eastAsia" w:ascii="仿宋" w:hAnsi="仿宋" w:eastAsia="仿宋" w:cs="仿宋"/>
          <w:sz w:val="24"/>
        </w:rPr>
        <w:t>3、本合同一式</w:t>
      </w:r>
      <w:r>
        <w:rPr>
          <w:rFonts w:hint="eastAsia" w:ascii="仿宋" w:hAnsi="仿宋" w:eastAsia="仿宋" w:cs="仿宋"/>
          <w:sz w:val="24"/>
          <w:u w:val="single"/>
          <w:lang w:val="en-US" w:eastAsia="zh-CN"/>
        </w:rPr>
        <w:t xml:space="preserve">    </w:t>
      </w:r>
      <w:r>
        <w:rPr>
          <w:rFonts w:hint="eastAsia" w:ascii="仿宋" w:hAnsi="仿宋" w:eastAsia="仿宋" w:cs="仿宋"/>
          <w:sz w:val="24"/>
        </w:rPr>
        <w:t>份，具有同等法律效力，甲乙双方各执</w:t>
      </w:r>
      <w:r>
        <w:rPr>
          <w:rFonts w:hint="eastAsia" w:ascii="仿宋" w:hAnsi="仿宋" w:eastAsia="仿宋" w:cs="仿宋"/>
          <w:sz w:val="24"/>
          <w:u w:val="single"/>
          <w:lang w:val="en-US" w:eastAsia="zh-CN"/>
        </w:rPr>
        <w:t xml:space="preserve">    </w:t>
      </w:r>
      <w:r>
        <w:rPr>
          <w:rFonts w:hint="eastAsia" w:ascii="仿宋" w:hAnsi="仿宋" w:eastAsia="仿宋" w:cs="仿宋"/>
          <w:sz w:val="24"/>
        </w:rPr>
        <w:t>份。</w:t>
      </w:r>
    </w:p>
    <w:tbl>
      <w:tblPr>
        <w:tblStyle w:val="3"/>
        <w:tblpPr w:leftFromText="180" w:rightFromText="180" w:vertAnchor="text" w:horzAnchor="page" w:tblpX="1277" w:tblpY="448"/>
        <w:tblOverlap w:val="never"/>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0"/>
        <w:gridCol w:w="4920"/>
      </w:tblGrid>
      <w:tr w14:paraId="40FA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774A3FE9">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甲方：（盖章）</w:t>
            </w:r>
          </w:p>
        </w:tc>
        <w:tc>
          <w:tcPr>
            <w:tcW w:w="4920" w:type="dxa"/>
            <w:vAlign w:val="center"/>
          </w:tcPr>
          <w:p w14:paraId="21609B66">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乙方：（盖章）</w:t>
            </w:r>
          </w:p>
        </w:tc>
      </w:tr>
      <w:tr w14:paraId="2609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AE91797">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法定代表人/授权代表：</w:t>
            </w:r>
          </w:p>
        </w:tc>
        <w:tc>
          <w:tcPr>
            <w:tcW w:w="4920" w:type="dxa"/>
          </w:tcPr>
          <w:p w14:paraId="20A2DAF7">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法定代表人/授权代表：</w:t>
            </w:r>
          </w:p>
        </w:tc>
      </w:tr>
      <w:tr w14:paraId="1AA9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10A1ADB1">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地址：</w:t>
            </w:r>
          </w:p>
        </w:tc>
        <w:tc>
          <w:tcPr>
            <w:tcW w:w="4920" w:type="dxa"/>
          </w:tcPr>
          <w:p w14:paraId="3B0DAD60">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地址：</w:t>
            </w:r>
          </w:p>
        </w:tc>
      </w:tr>
      <w:tr w14:paraId="4B2E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0EE445F">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开户银行：</w:t>
            </w:r>
          </w:p>
        </w:tc>
        <w:tc>
          <w:tcPr>
            <w:tcW w:w="4920" w:type="dxa"/>
          </w:tcPr>
          <w:p w14:paraId="29B704DA">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开户银行：</w:t>
            </w:r>
          </w:p>
        </w:tc>
      </w:tr>
      <w:tr w14:paraId="38E9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CC0CA5E">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账号：</w:t>
            </w:r>
          </w:p>
        </w:tc>
        <w:tc>
          <w:tcPr>
            <w:tcW w:w="4920" w:type="dxa"/>
          </w:tcPr>
          <w:p w14:paraId="258E84D8">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账号：</w:t>
            </w:r>
          </w:p>
        </w:tc>
      </w:tr>
      <w:tr w14:paraId="73E6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4B339D4">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电话</w:t>
            </w:r>
          </w:p>
        </w:tc>
        <w:tc>
          <w:tcPr>
            <w:tcW w:w="4920" w:type="dxa"/>
          </w:tcPr>
          <w:p w14:paraId="53DBE99F">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电话：</w:t>
            </w:r>
          </w:p>
        </w:tc>
      </w:tr>
      <w:tr w14:paraId="49D2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07492555">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签约日期：    年  月  日</w:t>
            </w:r>
          </w:p>
        </w:tc>
        <w:tc>
          <w:tcPr>
            <w:tcW w:w="4920" w:type="dxa"/>
          </w:tcPr>
          <w:p w14:paraId="0294D37B">
            <w:pPr>
              <w:widowControl w:val="0"/>
              <w:spacing w:line="360" w:lineRule="auto"/>
              <w:ind w:left="0" w:leftChars="0" w:right="210" w:rightChars="100" w:firstLine="0" w:firstLineChars="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签约日期：    年  月  日</w:t>
            </w:r>
          </w:p>
        </w:tc>
      </w:tr>
    </w:tbl>
    <w:p w14:paraId="0C693BF4">
      <w:pPr>
        <w:rPr>
          <w:rFonts w:hint="eastAsia" w:ascii="仿宋" w:hAnsi="仿宋" w:eastAsia="仿宋" w:cs="仿宋"/>
        </w:rPr>
      </w:pPr>
    </w:p>
    <w:p w14:paraId="19DDB403">
      <w:pPr>
        <w:rPr>
          <w:rFonts w:hint="eastAsia" w:ascii="仿宋" w:hAnsi="仿宋" w:eastAsia="仿宋" w:cs="仿宋"/>
          <w:lang w:val="en-US" w:eastAsia="zh-CN"/>
        </w:rPr>
      </w:pPr>
    </w:p>
    <w:p w14:paraId="35E82E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D8BAAF"/>
    <w:multiLevelType w:val="singleLevel"/>
    <w:tmpl w:val="1DD8BAA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9360F"/>
    <w:rsid w:val="14C20935"/>
    <w:rsid w:val="18AF200B"/>
    <w:rsid w:val="278F0D75"/>
    <w:rsid w:val="3DA01D2A"/>
    <w:rsid w:val="44CE29A6"/>
    <w:rsid w:val="47D9360F"/>
    <w:rsid w:val="519805C3"/>
    <w:rsid w:val="69482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4</Pages>
  <Words>3042</Words>
  <Characters>3075</Characters>
  <DocSecurity>0</DocSecurity>
  <Lines>0</Lines>
  <Paragraphs>0</Paragraphs>
  <ScaleCrop>false</ScaleCrop>
  <LinksUpToDate>false</LinksUpToDate>
  <CharactersWithSpaces>3184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2025-10-15T06:47:00Z</dcterms:created>
  <dcterms:modified xsi:type="dcterms:W3CDTF">2025-10-15T06:56:22Z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C7BA8B934FF84894984E67187BFC092A_11</vt:lpwstr>
  </property>
  <property fmtid="{D5CDD505-2E9C-101B-9397-08002B2CF9AE}" pid="4" name="KSOTemplateDocerSaveRecord">
    <vt:lpwstr>eyJoZGlkIjoiODhhYzM0MGJkYWY1YmU5Y2IwNjE4ZjJjZDgxZThlOTIiLCJ1c2VySWQiOiI1MjA5ODY0ODgifQ==</vt:lpwstr>
  </property>
</Properties>
</file>